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jc w:val="center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866F9" w:rsidTr="007866F9">
        <w:trPr>
          <w:trHeight w:val="89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484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459"/>
              <w:gridCol w:w="69"/>
              <w:gridCol w:w="250"/>
              <w:gridCol w:w="69"/>
              <w:gridCol w:w="1877"/>
              <w:gridCol w:w="667"/>
              <w:gridCol w:w="1251"/>
              <w:gridCol w:w="1209"/>
              <w:gridCol w:w="1070"/>
            </w:tblGrid>
            <w:tr w:rsidR="007866F9" w:rsidTr="007866F9">
              <w:trPr>
                <w:trHeight w:val="494"/>
                <w:tblCellSpacing w:w="0" w:type="dxa"/>
                <w:jc w:val="center"/>
              </w:trPr>
              <w:tc>
                <w:tcPr>
                  <w:tcW w:w="2586" w:type="dxa"/>
                  <w:vAlign w:val="bottom"/>
                  <w:hideMark/>
                </w:tcPr>
                <w:p w:rsidR="007866F9" w:rsidRDefault="007866F9">
                  <w:pPr>
                    <w:spacing w:line="315" w:lineRule="atLeas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99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905000" cy="285750"/>
                        <wp:effectExtent l="0" t="0" r="0" b="0"/>
                        <wp:docPr id="4" name="Рисунок 4" descr="softlin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oftline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" w:type="dxa"/>
                  <w:shd w:val="clear" w:color="auto" w:fill="FFFFFF"/>
                  <w:vAlign w:val="bottom"/>
                  <w:hideMark/>
                </w:tcPr>
                <w:p w:rsidR="007866F9" w:rsidRDefault="007866F9">
                  <w:pP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shd w:val="clear" w:color="auto" w:fill="FFFFFF"/>
                  <w:vAlign w:val="center"/>
                  <w:hideMark/>
                </w:tcPr>
                <w:p w:rsidR="007866F9" w:rsidRDefault="007866F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shd w:val="clear" w:color="auto" w:fill="FFFFFF"/>
                  <w:vAlign w:val="bottom"/>
                  <w:hideMark/>
                </w:tcPr>
                <w:p w:rsidR="007866F9" w:rsidRDefault="007866F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" w:type="dxa"/>
                  <w:shd w:val="clear" w:color="auto" w:fill="FFFFFF"/>
                  <w:vAlign w:val="center"/>
                  <w:hideMark/>
                </w:tcPr>
                <w:p w:rsidR="007866F9" w:rsidRDefault="007866F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dxa"/>
                  <w:shd w:val="clear" w:color="auto" w:fill="FFFFFF"/>
                  <w:vAlign w:val="bottom"/>
                  <w:hideMark/>
                </w:tcPr>
                <w:p w:rsidR="007866F9" w:rsidRDefault="007866F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shd w:val="clear" w:color="auto" w:fill="FFFFFF"/>
                  <w:vAlign w:val="center"/>
                  <w:hideMark/>
                </w:tcPr>
                <w:p w:rsidR="007866F9" w:rsidRDefault="007866F9">
                  <w:pPr>
                    <w:spacing w:line="315" w:lineRule="atLeas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Style w:val="a3"/>
                        <w:color w:val="0085C2"/>
                        <w:sz w:val="20"/>
                        <w:szCs w:val="20"/>
                      </w:rPr>
                      <w:t>CLOUD</w:t>
                    </w:r>
                  </w:hyperlink>
                </w:p>
              </w:tc>
              <w:tc>
                <w:tcPr>
                  <w:tcW w:w="1163" w:type="dxa"/>
                  <w:vAlign w:val="center"/>
                  <w:hideMark/>
                </w:tcPr>
                <w:p w:rsidR="007866F9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a3"/>
                        <w:color w:val="FAB700"/>
                        <w:sz w:val="20"/>
                        <w:szCs w:val="20"/>
                      </w:rPr>
                      <w:t>SOFTWARE</w:t>
                    </w:r>
                  </w:hyperlink>
                </w:p>
              </w:tc>
              <w:tc>
                <w:tcPr>
                  <w:tcW w:w="1124" w:type="dxa"/>
                  <w:vAlign w:val="center"/>
                  <w:hideMark/>
                </w:tcPr>
                <w:p w:rsidR="007866F9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9" w:anchor="hardware-categories" w:history="1">
                    <w:r>
                      <w:rPr>
                        <w:rStyle w:val="a3"/>
                        <w:color w:val="616264"/>
                        <w:sz w:val="20"/>
                        <w:szCs w:val="20"/>
                      </w:rPr>
                      <w:t>HARDWARE</w:t>
                    </w:r>
                  </w:hyperlink>
                </w:p>
              </w:tc>
              <w:tc>
                <w:tcPr>
                  <w:tcW w:w="995" w:type="dxa"/>
                  <w:vAlign w:val="center"/>
                  <w:hideMark/>
                </w:tcPr>
                <w:p w:rsidR="007866F9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rStyle w:val="a3"/>
                        <w:color w:val="DC0064"/>
                        <w:sz w:val="20"/>
                        <w:szCs w:val="20"/>
                      </w:rPr>
                      <w:t>SERVICES</w:t>
                    </w:r>
                  </w:hyperlink>
                </w:p>
              </w:tc>
            </w:tr>
          </w:tbl>
          <w:p w:rsidR="007866F9" w:rsidRDefault="007866F9">
            <w:pPr>
              <w:spacing w:line="315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pict>
                <v:rect id="_x0000_i1025" style="width:458.4pt;height:.75pt" o:hrpct="980" o:hralign="center" o:hrstd="t" o:hr="t" fillcolor="#a0a0a0" stroked="f"/>
              </w:pict>
            </w:r>
          </w:p>
        </w:tc>
      </w:tr>
      <w:tr w:rsidR="007866F9" w:rsidTr="007866F9">
        <w:trPr>
          <w:trHeight w:val="993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8"/>
              <w:gridCol w:w="2929"/>
            </w:tblGrid>
            <w:tr w:rsidR="007866F9" w:rsidTr="007866F9">
              <w:trPr>
                <w:trHeight w:val="599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66F9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438900" cy="935786"/>
                        <wp:effectExtent l="0" t="0" r="0" b="0"/>
                        <wp:docPr id="3" name="Рисунок 3" descr="cid:image002.png@01CF78EB.F1E7C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id:image002.png@01CF78EB.F1E7C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7434" cy="944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6F9" w:rsidTr="007866F9">
              <w:trPr>
                <w:trHeight w:val="44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66F9" w:rsidRDefault="007866F9">
                  <w:pP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7866F9" w:rsidTr="007866F9">
              <w:trPr>
                <w:trHeight w:val="614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66F9" w:rsidRPr="00D375C3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32"/>
                      <w:szCs w:val="32"/>
                    </w:rPr>
                  </w:pPr>
                  <w:r w:rsidRPr="00D375C3">
                    <w:rPr>
                      <w:rStyle w:val="a5"/>
                      <w:rFonts w:ascii="Verdana" w:hAnsi="Verdana"/>
                      <w:color w:val="FFCF00"/>
                      <w:sz w:val="32"/>
                      <w:szCs w:val="32"/>
                    </w:rPr>
                    <w:t xml:space="preserve">IBM </w:t>
                  </w:r>
                  <w:proofErr w:type="spellStart"/>
                  <w:r w:rsidRPr="00D375C3">
                    <w:rPr>
                      <w:rStyle w:val="a5"/>
                      <w:rFonts w:ascii="Verdana" w:hAnsi="Verdana"/>
                      <w:color w:val="FFCF00"/>
                      <w:sz w:val="32"/>
                      <w:szCs w:val="32"/>
                    </w:rPr>
                    <w:t>Connections</w:t>
                  </w:r>
                  <w:proofErr w:type="spellEnd"/>
                  <w:r w:rsidRPr="00D375C3">
                    <w:rPr>
                      <w:rStyle w:val="a5"/>
                      <w:rFonts w:ascii="Verdana" w:hAnsi="Verdana"/>
                      <w:color w:val="FFCF00"/>
                      <w:sz w:val="32"/>
                      <w:szCs w:val="32"/>
                    </w:rPr>
                    <w:t>: создайте новый мир возможностей</w:t>
                  </w:r>
                </w:p>
              </w:tc>
            </w:tr>
            <w:tr w:rsidR="007866F9" w:rsidTr="007866F9">
              <w:trPr>
                <w:trHeight w:val="314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7866F9" w:rsidRDefault="007866F9">
                  <w:pPr>
                    <w:spacing w:line="315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pict>
                      <v:rect id="_x0000_i1026" style="width:467.75pt;height:.75pt" o:hralign="center" o:hrstd="t" o:hr="t" fillcolor="#a0a0a0" stroked="f"/>
                    </w:pict>
                  </w:r>
                </w:p>
              </w:tc>
            </w:tr>
            <w:tr w:rsidR="007866F9" w:rsidTr="007866F9">
              <w:trPr>
                <w:trHeight w:val="284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7866F9" w:rsidRPr="007866F9" w:rsidRDefault="007866F9">
                  <w:pPr>
                    <w:spacing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IBM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Connections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- это ведущая социальная программная платформа, которая поможет вашей организации работать с нужными людьми, ускорить внедрение инноваций и достичь желаемых результатов. Эта интегрированная платформа с высоким уровнем безопасности помогает сотрудникам находить экспертов и получать помощь в важнейших бизнес-процессов. </w:t>
                  </w:r>
                </w:p>
                <w:p w:rsidR="007866F9" w:rsidRPr="007866F9" w:rsidRDefault="007866F9">
                  <w:pPr>
                    <w:pStyle w:val="a4"/>
                    <w:spacing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</w:pP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 xml:space="preserve">IBM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>Connections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 xml:space="preserve"> может быть развернут локально, в гибридной и облачной среде. </w:t>
                  </w:r>
                </w:p>
                <w:p w:rsidR="007866F9" w:rsidRPr="007866F9" w:rsidRDefault="007866F9">
                  <w:pPr>
                    <w:pStyle w:val="a4"/>
                    <w:spacing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</w:pP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 xml:space="preserve">IBM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>Connections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  <w:lang w:eastAsia="en-US"/>
                    </w:rPr>
                    <w:t xml:space="preserve"> помогает решить следующие задачи: </w:t>
                  </w:r>
                </w:p>
                <w:p w:rsidR="007866F9" w:rsidRPr="007866F9" w:rsidRDefault="007866F9" w:rsidP="00EF6B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Style w:val="a5"/>
                      <w:rFonts w:ascii="Verdana" w:hAnsi="Verdana"/>
                      <w:color w:val="333333"/>
                      <w:sz w:val="18"/>
                      <w:szCs w:val="18"/>
                    </w:rPr>
                    <w:t xml:space="preserve">Сделать бизнес всесторонне социальным и обеспечить всестороннее взаимодействие клиентов с брендом. </w:t>
                  </w: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Эта социальная платформа поможет вам сделать все бизнес-процессы по взаимодействию с клиентами более социальными.</w:t>
                  </w:r>
                </w:p>
                <w:p w:rsidR="007866F9" w:rsidRPr="007866F9" w:rsidRDefault="007866F9" w:rsidP="00EF6B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Style w:val="a5"/>
                      <w:rFonts w:ascii="Verdana" w:hAnsi="Verdana"/>
                      <w:color w:val="333333"/>
                      <w:sz w:val="18"/>
                      <w:szCs w:val="18"/>
                    </w:rPr>
                    <w:t xml:space="preserve">Устранить необоснованные предположения </w:t>
                  </w: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путем предоставления полнофункциональной социальной аналитики и показателей, способствующих развитию важных сетей и сообществ.</w:t>
                  </w:r>
                </w:p>
                <w:p w:rsidR="007866F9" w:rsidRPr="007866F9" w:rsidRDefault="007866F9" w:rsidP="00EF6B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Style w:val="a5"/>
                      <w:rFonts w:ascii="Verdana" w:hAnsi="Verdana"/>
                      <w:color w:val="333333"/>
                      <w:sz w:val="18"/>
                      <w:szCs w:val="18"/>
                    </w:rPr>
                    <w:t xml:space="preserve">Повысить креативность </w:t>
                  </w: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благодаря использованию социальной платформы, которая может быть развернута на любом мобильном устройстве, включая планшеты. IBM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Connections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предоставляет гибкую платформу с расширенной безопасностью для комплексной реализации стратегии использования собственных мобильных устройств (BYOD).</w:t>
                  </w:r>
                </w:p>
                <w:p w:rsidR="007866F9" w:rsidRPr="007866F9" w:rsidRDefault="007866F9" w:rsidP="00EF6B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Style w:val="a5"/>
                      <w:rFonts w:ascii="Verdana" w:hAnsi="Verdana"/>
                      <w:color w:val="333333"/>
                      <w:sz w:val="18"/>
                      <w:szCs w:val="18"/>
                    </w:rPr>
                    <w:t xml:space="preserve">Осуществить интеграцию с продуктами IBM и сторонними приложениями, </w:t>
                  </w: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чтобы расширить социальную бизнес-платформу вашей компании.</w:t>
                  </w:r>
                </w:p>
                <w:p w:rsidR="007866F9" w:rsidRPr="007866F9" w:rsidRDefault="007866F9" w:rsidP="007866F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7866F9">
                    <w:rPr>
                      <w:rStyle w:val="a5"/>
                      <w:rFonts w:ascii="Verdana" w:hAnsi="Verdana"/>
                      <w:color w:val="333333"/>
                      <w:sz w:val="18"/>
                      <w:szCs w:val="18"/>
                    </w:rPr>
                    <w:t xml:space="preserve">Осуществить интеграцию с приложениями Microsoft, </w:t>
                  </w:r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включая Microsoft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SharePoint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, Microsoft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Windows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Explorer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, Microsoft </w:t>
                  </w:r>
                  <w:proofErr w:type="spellStart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Outlook</w:t>
                  </w:r>
                  <w:proofErr w:type="spellEnd"/>
                  <w:r w:rsidRPr="007866F9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и Microsoft Office.</w:t>
                  </w:r>
                  <w:r w:rsidRPr="007866F9">
                    <w:rPr>
                      <w:rFonts w:ascii="Verdana" w:hAnsi="Verdana"/>
                      <w:noProof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866F9" w:rsidRPr="007866F9" w:rsidRDefault="007866F9" w:rsidP="007866F9">
                  <w:pPr>
                    <w:spacing w:before="100" w:beforeAutospacing="1" w:after="100" w:afterAutospacing="1" w:line="315" w:lineRule="atLeast"/>
                    <w:ind w:left="72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F54FBC" wp14:editId="3F00B6D0">
                        <wp:extent cx="3514725" cy="2196705"/>
                        <wp:effectExtent l="0" t="0" r="0" b="0"/>
                        <wp:docPr id="2" name="Рисунок 2" descr="cid:image003.jpg@01CF78EB.F1E7C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id:image003.jpg@01CF78EB.F1E7C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2939" cy="2233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9722966" wp14:editId="4BAAEDBE">
                        <wp:extent cx="1335824" cy="2190750"/>
                        <wp:effectExtent l="0" t="0" r="0" b="0"/>
                        <wp:docPr id="1" name="Рисунок 1" descr="cid:image004.png@01CF78EB.F1E7C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id:image004.png@01CF78EB.F1E7C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563" cy="2275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6F9" w:rsidTr="007866F9">
              <w:trPr>
                <w:trHeight w:val="284"/>
                <w:tblCellSpacing w:w="0" w:type="dxa"/>
                <w:jc w:val="center"/>
              </w:trPr>
              <w:tc>
                <w:tcPr>
                  <w:tcW w:w="6515" w:type="dxa"/>
                  <w:hideMark/>
                </w:tcPr>
                <w:p w:rsidR="007866F9" w:rsidRDefault="007866F9" w:rsidP="007866F9">
                  <w:pPr>
                    <w:spacing w:line="315" w:lineRule="atLeas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hideMark/>
                </w:tcPr>
                <w:p w:rsidR="007866F9" w:rsidRDefault="007866F9">
                  <w:pPr>
                    <w:spacing w:line="315" w:lineRule="atLeast"/>
                    <w:jc w:val="righ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7866F9" w:rsidRPr="007866F9" w:rsidRDefault="007866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t xml:space="preserve">По всем вопросам обращайтесь к менеджеру по продуктам IBM </w:t>
            </w:r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7866F9">
              <w:rPr>
                <w:rStyle w:val="a5"/>
                <w:rFonts w:ascii="Verdana" w:hAnsi="Verdana"/>
                <w:color w:val="333333"/>
                <w:sz w:val="18"/>
                <w:szCs w:val="18"/>
              </w:rPr>
              <w:t>Евгении Медведевой</w:t>
            </w:r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bookmarkStart w:id="0" w:name="_GoBack"/>
            <w:bookmarkEnd w:id="0"/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t xml:space="preserve">Пишите </w:t>
            </w:r>
            <w:hyperlink r:id="rId14" w:history="1">
              <w:r w:rsidRPr="007866F9">
                <w:rPr>
                  <w:rStyle w:val="a3"/>
                  <w:sz w:val="18"/>
                  <w:szCs w:val="18"/>
                </w:rPr>
                <w:t>Evgeniya.Medvedeva@softline.ru</w:t>
              </w:r>
            </w:hyperlink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7866F9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C9046E">
              <w:rPr>
                <w:rFonts w:ascii="Verdana" w:hAnsi="Verdana"/>
                <w:color w:val="333333"/>
                <w:sz w:val="16"/>
                <w:szCs w:val="16"/>
              </w:rPr>
              <w:t xml:space="preserve">Звоните </w:t>
            </w:r>
            <w:r w:rsidRPr="00C9046E">
              <w:rPr>
                <w:rStyle w:val="baec5a81-e4d6-4674-97f3-e9220f0136c1"/>
                <w:rFonts w:ascii="Verdana" w:hAnsi="Verdana"/>
                <w:color w:val="333333"/>
                <w:sz w:val="16"/>
                <w:szCs w:val="16"/>
              </w:rPr>
              <w:t>+7 (495) 232 00 23</w:t>
            </w:r>
            <w:r w:rsidRPr="00C9046E">
              <w:rPr>
                <w:rFonts w:ascii="Verdana" w:hAnsi="Verdana"/>
                <w:color w:val="333333"/>
                <w:sz w:val="16"/>
                <w:szCs w:val="16"/>
              </w:rPr>
              <w:t xml:space="preserve"> доб. 1497</w:t>
            </w:r>
          </w:p>
        </w:tc>
      </w:tr>
    </w:tbl>
    <w:p w:rsidR="00000B53" w:rsidRDefault="00000B53" w:rsidP="007866F9"/>
    <w:sectPr w:rsidR="00000B53" w:rsidSect="0078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504F1"/>
    <w:multiLevelType w:val="multilevel"/>
    <w:tmpl w:val="61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80"/>
    <w:rsid w:val="00000B53"/>
    <w:rsid w:val="007866F9"/>
    <w:rsid w:val="00861C80"/>
    <w:rsid w:val="00C9046E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0B79-0FCC-4018-809C-489EDD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F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6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866F9"/>
  </w:style>
  <w:style w:type="character" w:styleId="a5">
    <w:name w:val="Strong"/>
    <w:basedOn w:val="a0"/>
    <w:uiPriority w:val="22"/>
    <w:qFormat/>
    <w:rsid w:val="0078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softline.ru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cloud.softline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softlin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rvices.soft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oftline.ru/catalog/" TargetMode="External"/><Relationship Id="rId14" Type="http://schemas.openxmlformats.org/officeDocument/2006/relationships/hyperlink" Target="mailto:Evgeniya.Medvedeva@soft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5</cp:revision>
  <dcterms:created xsi:type="dcterms:W3CDTF">2014-07-22T08:32:00Z</dcterms:created>
  <dcterms:modified xsi:type="dcterms:W3CDTF">2014-07-22T08:40:00Z</dcterms:modified>
</cp:coreProperties>
</file>